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00BB5E1F">
              <w:rPr>
                <w:rFonts w:ascii="Times New Roman" w:hAnsi="Times New Roman" w:cs="Times New Roman"/>
                <w:i/>
                <w:sz w:val="22"/>
                <w:lang w:eastAsia="zh-HK"/>
              </w:rPr>
              <w:t>service</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00085A93" w:rsidRPr="004002A1">
              <w:rPr>
                <w:rFonts w:ascii="Times New Roman" w:hAnsi="Times New Roman" w:cs="Times New Roman"/>
                <w:i/>
                <w:color w:val="0000FF"/>
                <w:sz w:val="22"/>
                <w:lang w:eastAsia="zh-HK"/>
              </w:rPr>
              <w:t>to</w:t>
            </w:r>
            <w:proofErr w:type="gramEnd"/>
            <w:r w:rsidR="00085A93" w:rsidRPr="004002A1">
              <w:rPr>
                <w:rFonts w:ascii="Times New Roman" w:hAnsi="Times New Roman" w:cs="Times New Roman"/>
                <w:i/>
                <w:color w:val="0000FF"/>
                <w:sz w:val="22"/>
                <w:lang w:eastAsia="zh-HK"/>
              </w:rPr>
              <w:t xml:space="preserve">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00F70A47">
              <w:rPr>
                <w:rFonts w:ascii="Times New Roman" w:hAnsi="Times New Roman" w:cs="Times New Roman"/>
                <w:i/>
                <w:color w:val="0000FF"/>
                <w:sz w:val="22"/>
                <w:lang w:eastAsia="zh-HK"/>
              </w:rPr>
              <w:t xml:space="preserve">.  </w:t>
            </w:r>
            <w:r w:rsidR="00F70A47" w:rsidRPr="00A97D20">
              <w:rPr>
                <w:rFonts w:ascii="Times New Roman" w:hAnsi="Times New Roman" w:cs="Times New Roman"/>
                <w:i/>
                <w:color w:val="0000FF"/>
                <w:sz w:val="22"/>
                <w:lang w:eastAsia="zh-HK"/>
              </w:rPr>
              <w:t>The project office should ensure that the list of required personnel remains concise to control costs effe</w:t>
            </w:r>
            <w:r w:rsidR="00F70A47">
              <w:rPr>
                <w:rFonts w:ascii="Times New Roman" w:hAnsi="Times New Roman" w:cs="Times New Roman"/>
                <w:i/>
                <w:color w:val="0000FF"/>
                <w:sz w:val="22"/>
                <w:lang w:eastAsia="zh-HK"/>
              </w:rPr>
              <w:t>ctively. Only essential members</w:t>
            </w:r>
            <w:r w:rsidR="00F70A47" w:rsidRPr="00A97D20">
              <w:rPr>
                <w:rFonts w:ascii="Times New Roman" w:hAnsi="Times New Roman" w:cs="Times New Roman"/>
                <w:i/>
                <w:color w:val="0000FF"/>
                <w:sz w:val="22"/>
                <w:lang w:eastAsia="zh-HK"/>
              </w:rPr>
              <w:t xml:space="preserve"> should be included to avoi</w:t>
            </w:r>
            <w:r w:rsidR="00F70A47">
              <w:rPr>
                <w:rFonts w:ascii="Times New Roman" w:hAnsi="Times New Roman" w:cs="Times New Roman"/>
                <w:i/>
                <w:color w:val="0000FF"/>
                <w:sz w:val="22"/>
                <w:lang w:eastAsia="zh-HK"/>
              </w:rPr>
              <w:t>d unnecessary expansion of the T</w:t>
            </w:r>
            <w:r w:rsidR="00F70A47" w:rsidRPr="00A97D20">
              <w:rPr>
                <w:rFonts w:ascii="Times New Roman" w:hAnsi="Times New Roman" w:cs="Times New Roman"/>
                <w:i/>
                <w:color w:val="0000FF"/>
                <w:sz w:val="22"/>
                <w:lang w:eastAsia="zh-HK"/>
              </w:rPr>
              <w:t>eam.</w:t>
            </w:r>
            <w:r w:rsidRPr="004002A1">
              <w:rPr>
                <w:rFonts w:ascii="Times New Roman" w:hAnsi="Times New Roman" w:cs="Times New Roman"/>
                <w:sz w:val="22"/>
                <w:lang w:eastAsia="zh-HK"/>
              </w:rPr>
              <w:t>]</w:t>
            </w:r>
          </w:p>
          <w:p w:rsidR="00A66EE2" w:rsidRPr="008A6799" w:rsidRDefault="00FF7BC5" w:rsidP="008A6799">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minimum qualification and experience required for the job identified above is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Pr="004002A1" w:rsidRDefault="00A66EE2" w:rsidP="00706520">
            <w:pPr>
              <w:spacing w:afterLines="20" w:after="72" w:line="28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lang w:eastAsia="zh-HK"/>
              </w:rPr>
              <w:t xml:space="preserve">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8A6799" w:rsidRDefault="00A66EE2" w:rsidP="008A6799">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1A554C">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001A554C">
              <w:rPr>
                <w:rFonts w:ascii="Times New Roman" w:hAnsi="Times New Roman" w:cs="Times New Roman"/>
                <w:i/>
                <w:sz w:val="22"/>
                <w:lang w:eastAsia="zh-HK"/>
              </w:rPr>
              <w:t xml:space="preserve">Service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rPr>
              <w:t xml:space="preserve">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rPr>
              <w:t xml:space="preserve">Within two weeks of the </w:t>
            </w:r>
            <w:r w:rsidRPr="004002A1">
              <w:rPr>
                <w:rFonts w:ascii="Times New Roman" w:hAnsi="Times New Roman" w:cs="Times New Roman"/>
                <w:sz w:val="22"/>
                <w:lang w:eastAsia="zh-HK"/>
              </w:rPr>
              <w:t>Contract Date</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rPr>
              <w:t xml:space="preserve"> a list of staff with qualifications and experience </w:t>
            </w:r>
            <w:r w:rsidRPr="004002A1">
              <w:rPr>
                <w:rFonts w:ascii="Times New Roman" w:hAnsi="Times New Roman" w:cs="Times New Roman"/>
                <w:sz w:val="22"/>
                <w:lang w:eastAsia="zh-HK"/>
              </w:rPr>
              <w:t>proposed for</w:t>
            </w:r>
            <w:r w:rsidRPr="004002A1">
              <w:rPr>
                <w:rFonts w:ascii="Times New Roman" w:hAnsi="Times New Roman" w:cs="Times New Roman"/>
                <w:sz w:val="22"/>
              </w:rPr>
              <w:t xml:space="preserve"> the Team and its assistant for acceptance.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 xml:space="preserve">in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Giving of Notices and Payment of Fees</w:t>
      </w:r>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862" w:type="dxa"/>
          </w:tcPr>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Giving of Notices and Payment of Fees</w:t>
            </w:r>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87F3C" w:rsidRPr="004002A1" w:rsidRDefault="00A87F3C" w:rsidP="001B4BF9">
            <w:pPr>
              <w:tabs>
                <w:tab w:val="left" w:pos="-3"/>
              </w:tabs>
              <w:spacing w:afterLines="30" w:after="108" w:line="280" w:lineRule="exact"/>
              <w:ind w:left="-6" w:rightChars="81" w:right="194"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required to Provide the </w:t>
            </w:r>
            <w:r w:rsidR="005E35E7">
              <w:rPr>
                <w:rFonts w:ascii="Times New Roman" w:hAnsi="Times New Roman" w:cs="Times New Roman"/>
                <w:sz w:val="22"/>
                <w:lang w:bidi="th-TH"/>
              </w:rPr>
              <w:t>Service</w:t>
            </w:r>
            <w:r w:rsidRPr="004002A1">
              <w:rPr>
                <w:rFonts w:ascii="Times New Roman" w:hAnsi="Times New Roman" w:cs="Times New Roman"/>
                <w:sz w:val="22"/>
                <w:lang w:bidi="th-TH"/>
              </w:rPr>
              <w:t xml:space="preserve">,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gives all notices and pay all </w:t>
            </w:r>
            <w:proofErr w:type="spellStart"/>
            <w:r w:rsidRPr="004002A1">
              <w:rPr>
                <w:rFonts w:ascii="Times New Roman" w:hAnsi="Times New Roman" w:cs="Times New Roman"/>
                <w:sz w:val="22"/>
                <w:lang w:bidi="th-TH"/>
              </w:rPr>
              <w:t>licences</w:t>
            </w:r>
            <w:proofErr w:type="spellEnd"/>
            <w:r w:rsidRPr="004002A1">
              <w:rPr>
                <w:rFonts w:ascii="Times New Roman" w:hAnsi="Times New Roman" w:cs="Times New Roman"/>
                <w:sz w:val="22"/>
                <w:lang w:bidi="th-TH"/>
              </w:rPr>
              <w:t>, levies, premiums or other fees required to be given or paid by reason of any enactment or any regulations or bye-laws of any local or other duly constituted authority, including any new fee and any change in existing fees</w:t>
            </w:r>
            <w:r w:rsidR="00B53826" w:rsidRPr="004002A1">
              <w:rPr>
                <w:rFonts w:ascii="Times New Roman" w:hAnsi="Times New Roman" w:cs="Times New Roman"/>
                <w:sz w:val="22"/>
                <w:lang w:bidi="th-TH"/>
              </w:rPr>
              <w:t xml:space="preserve"> which</w:t>
            </w:r>
          </w:p>
          <w:p w:rsidR="00A87F3C" w:rsidRPr="004002A1" w:rsidRDefault="00B53826" w:rsidP="00D25AEC">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sidRPr="004002A1">
              <w:rPr>
                <w:rFonts w:ascii="Times New Roman" w:eastAsia="SimSun" w:hAnsi="Times New Roman" w:cs="Times New Roman"/>
                <w:sz w:val="22"/>
                <w:lang w:bidi="th-TH"/>
              </w:rPr>
              <w:t>comes into effect on</w:t>
            </w:r>
            <w:r w:rsidR="00A87F3C" w:rsidRPr="004002A1">
              <w:rPr>
                <w:rFonts w:ascii="Times New Roman" w:eastAsia="SimSun" w:hAnsi="Times New Roman" w:cs="Times New Roman"/>
                <w:sz w:val="22"/>
                <w:lang w:bidi="th-TH"/>
              </w:rPr>
              <w:t xml:space="preserve"> or after the date 10 days p</w:t>
            </w:r>
            <w:r w:rsidR="000A791F" w:rsidRPr="004002A1">
              <w:rPr>
                <w:rFonts w:ascii="Times New Roman" w:eastAsia="SimSun" w:hAnsi="Times New Roman" w:cs="Times New Roman"/>
                <w:sz w:val="22"/>
                <w:lang w:bidi="th-TH"/>
              </w:rPr>
              <w:t>rior to the</w:t>
            </w:r>
            <w:r w:rsidR="000A791F" w:rsidRPr="004002A1">
              <w:rPr>
                <w:rFonts w:ascii="Times New Roman" w:eastAsia="SimSun" w:hAnsi="Times New Roman" w:cs="Times New Roman"/>
                <w:i/>
                <w:sz w:val="22"/>
                <w:lang w:bidi="th-TH"/>
              </w:rPr>
              <w:t xml:space="preserve"> tender closing date</w:t>
            </w:r>
            <w:r w:rsidR="000A791F" w:rsidRPr="004002A1">
              <w:rPr>
                <w:rFonts w:ascii="Times New Roman" w:eastAsia="SimSun" w:hAnsi="Times New Roman" w:cs="Times New Roman"/>
                <w:sz w:val="22"/>
                <w:lang w:bidi="th-TH"/>
              </w:rPr>
              <w:t>,</w:t>
            </w:r>
            <w:r w:rsidR="00A87F3C" w:rsidRPr="004002A1">
              <w:rPr>
                <w:rFonts w:ascii="Times New Roman" w:eastAsia="SimSun" w:hAnsi="Times New Roman" w:cs="Times New Roman"/>
                <w:sz w:val="22"/>
                <w:lang w:bidi="th-TH"/>
              </w:rPr>
              <w:t xml:space="preserve"> or</w:t>
            </w:r>
          </w:p>
          <w:p w:rsidR="00A87F3C" w:rsidRPr="004002A1" w:rsidRDefault="00B53826" w:rsidP="00D25AEC">
            <w:pPr>
              <w:pStyle w:val="a3"/>
              <w:numPr>
                <w:ilvl w:val="0"/>
                <w:numId w:val="4"/>
              </w:numPr>
              <w:tabs>
                <w:tab w:val="left" w:pos="-3"/>
              </w:tabs>
              <w:spacing w:afterLines="80" w:after="288" w:line="280" w:lineRule="exact"/>
              <w:ind w:leftChars="0" w:left="544" w:rightChars="81" w:right="194" w:hanging="544"/>
              <w:jc w:val="both"/>
              <w:rPr>
                <w:rFonts w:ascii="Times New Roman" w:hAnsi="Times New Roman" w:cs="Times New Roman"/>
                <w:sz w:val="22"/>
                <w:lang w:eastAsia="zh-HK"/>
              </w:rPr>
            </w:pPr>
            <w:proofErr w:type="gramStart"/>
            <w:r w:rsidRPr="004002A1">
              <w:rPr>
                <w:rFonts w:ascii="Times New Roman" w:eastAsia="SimSun" w:hAnsi="Times New Roman" w:cs="Times New Roman"/>
                <w:sz w:val="22"/>
                <w:lang w:bidi="th-TH"/>
              </w:rPr>
              <w:t>is</w:t>
            </w:r>
            <w:proofErr w:type="gramEnd"/>
            <w:r w:rsidRPr="004002A1">
              <w:rPr>
                <w:rFonts w:ascii="Times New Roman" w:eastAsia="SimSun" w:hAnsi="Times New Roman" w:cs="Times New Roman"/>
                <w:sz w:val="22"/>
                <w:lang w:bidi="th-TH"/>
              </w:rPr>
              <w:t xml:space="preserve"> enacted or introduced </w:t>
            </w:r>
            <w:r w:rsidR="00A87F3C" w:rsidRPr="004002A1">
              <w:rPr>
                <w:rFonts w:ascii="Times New Roman" w:eastAsia="SimSun" w:hAnsi="Times New Roman" w:cs="Times New Roman"/>
                <w:sz w:val="22"/>
                <w:lang w:bidi="th-TH"/>
              </w:rPr>
              <w:t>before the date 10 days pr</w:t>
            </w:r>
            <w:r w:rsidRPr="004002A1">
              <w:rPr>
                <w:rFonts w:ascii="Times New Roman" w:eastAsia="SimSun" w:hAnsi="Times New Roman" w:cs="Times New Roman"/>
                <w:sz w:val="22"/>
                <w:lang w:bidi="th-TH"/>
              </w:rPr>
              <w:t xml:space="preserve">ior to the </w:t>
            </w:r>
            <w:r w:rsidRPr="004002A1">
              <w:rPr>
                <w:rFonts w:ascii="Times New Roman" w:eastAsia="SimSun" w:hAnsi="Times New Roman" w:cs="Times New Roman"/>
                <w:i/>
                <w:sz w:val="22"/>
                <w:lang w:bidi="th-TH"/>
              </w:rPr>
              <w:t>tender closing date</w:t>
            </w:r>
            <w:r w:rsidRPr="004002A1">
              <w:rPr>
                <w:rFonts w:ascii="Times New Roman" w:eastAsia="SimSun" w:hAnsi="Times New Roman" w:cs="Times New Roman"/>
                <w:sz w:val="22"/>
                <w:lang w:bidi="th-TH"/>
              </w:rPr>
              <w:t xml:space="preserve"> but</w:t>
            </w:r>
            <w:r w:rsidR="00A87F3C" w:rsidRPr="004002A1">
              <w:rPr>
                <w:rFonts w:ascii="Times New Roman" w:eastAsia="SimSun" w:hAnsi="Times New Roman" w:cs="Times New Roman"/>
                <w:sz w:val="22"/>
                <w:lang w:bidi="th-TH"/>
              </w:rPr>
              <w:t xml:space="preserve"> the </w:t>
            </w:r>
            <w:r w:rsidRPr="004002A1">
              <w:rPr>
                <w:rFonts w:ascii="Times New Roman" w:eastAsia="SimSun" w:hAnsi="Times New Roman" w:cs="Times New Roman"/>
                <w:sz w:val="22"/>
                <w:lang w:bidi="th-TH"/>
              </w:rPr>
              <w:t>effective</w:t>
            </w:r>
            <w:r w:rsidR="00A87F3C" w:rsidRPr="004002A1">
              <w:rPr>
                <w:rFonts w:ascii="Times New Roman" w:eastAsia="SimSun" w:hAnsi="Times New Roman" w:cs="Times New Roman"/>
                <w:sz w:val="22"/>
                <w:lang w:bidi="th-TH"/>
              </w:rPr>
              <w:t xml:space="preserve"> date of which is only ascertainable on or after the date 10 days prior to the </w:t>
            </w:r>
            <w:r w:rsidR="00A87F3C" w:rsidRPr="004002A1">
              <w:rPr>
                <w:rFonts w:ascii="Times New Roman" w:eastAsia="SimSun" w:hAnsi="Times New Roman" w:cs="Times New Roman"/>
                <w:i/>
                <w:sz w:val="22"/>
                <w:lang w:bidi="th-TH"/>
              </w:rPr>
              <w:t>tender closing date</w:t>
            </w:r>
            <w:r w:rsidR="00A87F3C" w:rsidRPr="004002A1">
              <w:rPr>
                <w:rFonts w:ascii="Times New Roman" w:eastAsia="SimSun" w:hAnsi="Times New Roman" w:cs="Times New Roman"/>
                <w:sz w:val="22"/>
                <w:lang w:bidi="th-TH"/>
              </w:rPr>
              <w:t>.</w:t>
            </w:r>
          </w:p>
        </w:tc>
        <w:tc>
          <w:tcPr>
            <w:tcW w:w="1784" w:type="dxa"/>
          </w:tcPr>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A87F3C" w:rsidRPr="004002A1" w:rsidRDefault="00A87F3C" w:rsidP="001B4BF9">
            <w:pPr>
              <w:spacing w:line="280" w:lineRule="exact"/>
              <w:rPr>
                <w:rFonts w:ascii="Times New Roman" w:hAnsi="Times New Roman" w:cs="Times New Roman"/>
                <w:sz w:val="22"/>
              </w:rPr>
            </w:pPr>
            <w:r w:rsidRPr="004002A1">
              <w:rPr>
                <w:rFonts w:ascii="Times New Roman" w:hAnsi="Times New Roman" w:cs="Times New Roman"/>
                <w:sz w:val="22"/>
                <w:lang w:eastAsia="zh-HK"/>
              </w:rPr>
              <w:t xml:space="preserve">Modified from </w:t>
            </w:r>
            <w:r w:rsidRPr="004002A1">
              <w:rPr>
                <w:rFonts w:ascii="Times New Roman" w:hAnsi="Times New Roman" w:cs="Times New Roman"/>
                <w:sz w:val="22"/>
              </w:rPr>
              <w:t>SCC60(2)</w:t>
            </w:r>
          </w:p>
        </w:tc>
      </w:tr>
    </w:tbl>
    <w:p w:rsidR="00A20F9A" w:rsidRPr="004002A1"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Pr="004002A1">
              <w:rPr>
                <w:rFonts w:ascii="Times New Roman" w:hAnsi="Times New Roman" w:cs="Times New Roman"/>
                <w:sz w:val="22"/>
                <w:lang w:eastAsia="zh-HK"/>
              </w:rPr>
              <w:t>unincorporated</w:t>
            </w:r>
            <w:proofErr w:type="gramEnd"/>
            <w:r w:rsidRPr="004002A1">
              <w:rPr>
                <w:rFonts w:ascii="Times New Roman" w:hAnsi="Times New Roman" w:cs="Times New Roman"/>
                <w:sz w:val="22"/>
                <w:lang w:eastAsia="zh-HK"/>
              </w:rPr>
              <w:t xml:space="preserve">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proofErr w:type="gramStart"/>
            <w:r w:rsidRPr="004002A1">
              <w:rPr>
                <w:rFonts w:ascii="Times New Roman" w:hAnsi="Times New Roman" w:cs="Times New Roman"/>
                <w:sz w:val="22"/>
                <w:lang w:eastAsia="zh-HK"/>
              </w:rPr>
              <w:t>the</w:t>
            </w:r>
            <w:proofErr w:type="gramEnd"/>
            <w:r w:rsidRPr="004002A1">
              <w:rPr>
                <w:rFonts w:ascii="Times New Roman" w:hAnsi="Times New Roman" w:cs="Times New Roman"/>
                <w:sz w:val="22"/>
                <w:lang w:eastAsia="zh-HK"/>
              </w:rPr>
              <w:t xml:space="preserv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proofErr w:type="gramStart"/>
            <w:r w:rsidRPr="004002A1">
              <w:rPr>
                <w:rFonts w:ascii="Times New Roman" w:hAnsi="Times New Roman" w:cs="Times New Roman"/>
                <w:sz w:val="22"/>
              </w:rPr>
              <w:t>within</w:t>
            </w:r>
            <w:proofErr w:type="gramEnd"/>
            <w:r w:rsidRPr="004002A1">
              <w:rPr>
                <w:rFonts w:ascii="Times New Roman" w:hAnsi="Times New Roman" w:cs="Times New Roman"/>
                <w:sz w:val="22"/>
              </w:rPr>
              <w:t xml:space="preserve">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(5</w:t>
            </w:r>
            <w:r w:rsidR="001C7479" w:rsidRPr="004002A1">
              <w:rPr>
                <w:rFonts w:ascii="Times New Roman" w:hAnsi="Times New Roman" w:cs="Times New Roman" w:hint="eastAsia"/>
                <w:sz w:val="22"/>
              </w:rPr>
              <w:t>)</w:t>
            </w:r>
          </w:p>
        </w:tc>
        <w:tc>
          <w:tcPr>
            <w:tcW w:w="6862" w:type="dxa"/>
          </w:tcPr>
          <w:p w:rsidR="00D35A5E" w:rsidRPr="004002A1" w:rsidRDefault="00D35A5E" w:rsidP="00F4680A">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D35A5E" w:rsidRPr="004002A1" w:rsidRDefault="00D35A5E" w:rsidP="00D25AEC">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0A791F" w:rsidRPr="004002A1">
              <w:rPr>
                <w:rFonts w:ascii="Times New Roman" w:hAnsi="Times New Roman" w:cs="Times New Roman"/>
                <w:sz w:val="22"/>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0A791F" w:rsidRPr="004002A1">
              <w:rPr>
                <w:rFonts w:ascii="Times New Roman" w:hAnsi="Times New Roman" w:cs="Times New Roman"/>
                <w:sz w:val="22"/>
              </w:rPr>
              <w:t>,</w:t>
            </w:r>
          </w:p>
          <w:p w:rsidR="007D6CA1" w:rsidRPr="00005548"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r w:rsidR="000A791F" w:rsidRPr="004002A1">
              <w:rPr>
                <w:rFonts w:ascii="Times New Roman" w:eastAsia="SimSun" w:hAnsi="Times New Roman" w:cs="Times New Roman"/>
                <w:sz w:val="22"/>
                <w:lang w:bidi="th-TH"/>
              </w:rPr>
              <w:t>,</w:t>
            </w:r>
          </w:p>
          <w:p w:rsidR="00B606D4" w:rsidRPr="004002A1" w:rsidRDefault="00B606D4"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005548">
              <w:rPr>
                <w:rFonts w:ascii="Times New Roman" w:hAnsi="Times New Roman" w:cs="Times New Roman"/>
                <w:color w:val="000000"/>
                <w:sz w:val="22"/>
              </w:rPr>
              <w:t>presented a petition for winding-up</w:t>
            </w:r>
            <w:r w:rsidRPr="00005548">
              <w:rPr>
                <w:rFonts w:ascii="Times New Roman" w:eastAsia="SimSun" w:hAnsi="Times New Roman" w:cs="Times New Roman"/>
                <w:sz w:val="22"/>
                <w:lang w:bidi="th-TH"/>
              </w:rPr>
              <w:t xml:space="preserve"> itself or had a petition for winding-up presented against it by any c</w:t>
            </w:r>
            <w:r w:rsidRPr="006A7549">
              <w:rPr>
                <w:rFonts w:ascii="Times New Roman" w:eastAsia="SimSun" w:hAnsi="Times New Roman" w:cs="Times New Roman"/>
                <w:sz w:val="22"/>
                <w:lang w:bidi="th-TH"/>
              </w:rPr>
              <w:t>reditor</w:t>
            </w:r>
            <w:r>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0A791F"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w:t>
            </w:r>
            <w:r w:rsidR="000A791F" w:rsidRPr="004002A1">
              <w:rPr>
                <w:rFonts w:ascii="Times New Roman" w:eastAsia="SimSun" w:hAnsi="Times New Roman" w:cs="Times New Roman"/>
                <w:sz w:val="22"/>
                <w:lang w:bidi="th-TH"/>
              </w:rPr>
              <w:t xml:space="preserve">nment in </w:t>
            </w:r>
            <w:proofErr w:type="spellStart"/>
            <w:r w:rsidR="000A791F" w:rsidRPr="004002A1">
              <w:rPr>
                <w:rFonts w:ascii="Times New Roman" w:eastAsia="SimSun" w:hAnsi="Times New Roman" w:cs="Times New Roman"/>
                <w:sz w:val="22"/>
                <w:lang w:bidi="th-TH"/>
              </w:rPr>
              <w:t>favour</w:t>
            </w:r>
            <w:proofErr w:type="spellEnd"/>
            <w:r w:rsidR="000A791F" w:rsidRPr="004002A1">
              <w:rPr>
                <w:rFonts w:ascii="Times New Roman" w:eastAsia="SimSun" w:hAnsi="Times New Roman" w:cs="Times New Roman"/>
                <w:sz w:val="22"/>
                <w:lang w:bidi="th-TH"/>
              </w:rPr>
              <w:t xml:space="preserve"> of its creditor,</w:t>
            </w:r>
            <w:r w:rsidRPr="004002A1">
              <w:rPr>
                <w:rFonts w:ascii="Times New Roman" w:eastAsia="SimSun" w:hAnsi="Times New Roman" w:cs="Times New Roman"/>
                <w:sz w:val="22"/>
                <w:lang w:bidi="th-TH"/>
              </w:rPr>
              <w:t xml:space="preserve"> and</w:t>
            </w:r>
          </w:p>
          <w:p w:rsidR="00D35A5E" w:rsidRPr="004002A1" w:rsidRDefault="00D35A5E" w:rsidP="00D25AEC">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w:t>
            </w:r>
            <w:r w:rsidR="00133E48" w:rsidRPr="004002A1">
              <w:rPr>
                <w:rFonts w:ascii="Times New Roman" w:eastAsia="SimSun" w:hAnsi="Times New Roman" w:cs="Times New Roman"/>
                <w:sz w:val="22"/>
                <w:lang w:bidi="th-TH"/>
              </w:rPr>
              <w:t xml:space="preserve">Providing the </w:t>
            </w:r>
            <w:r w:rsidR="00DF0B27">
              <w:rPr>
                <w:rFonts w:ascii="Times New Roman" w:eastAsia="SimSun" w:hAnsi="Times New Roman" w:cs="Times New Roman"/>
                <w:sz w:val="22"/>
                <w:lang w:bidi="th-TH"/>
              </w:rPr>
              <w:t>Service</w:t>
            </w:r>
            <w:r w:rsidRPr="004002A1">
              <w:rPr>
                <w:rFonts w:ascii="Times New Roman" w:eastAsia="SimSun" w:hAnsi="Times New Roman" w:cs="Times New Roman"/>
                <w:sz w:val="22"/>
                <w:lang w:bidi="th-TH"/>
              </w:rPr>
              <w:t>,</w:t>
            </w:r>
          </w:p>
          <w:p w:rsidR="00D35A5E" w:rsidRPr="004002A1" w:rsidRDefault="00F4680A" w:rsidP="00EE74B5">
            <w:pPr>
              <w:tabs>
                <w:tab w:val="left" w:pos="-3"/>
              </w:tabs>
              <w:spacing w:afterLines="80" w:after="288" w:line="280" w:lineRule="exact"/>
              <w:ind w:rightChars="80" w:right="192"/>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r w:rsidR="00D35A5E"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F4680A" w:rsidRPr="004002A1" w:rsidTr="0087424A">
        <w:trPr>
          <w:cantSplit/>
        </w:trPr>
        <w:tc>
          <w:tcPr>
            <w:tcW w:w="708" w:type="dxa"/>
          </w:tcPr>
          <w:p w:rsidR="00F4680A" w:rsidRPr="004002A1" w:rsidRDefault="00F4680A"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6862" w:type="dxa"/>
          </w:tcPr>
          <w:p w:rsidR="00F4680A" w:rsidRPr="004002A1" w:rsidRDefault="00F4680A" w:rsidP="005B0E42">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F4680A" w:rsidRPr="004002A1" w:rsidRDefault="00F4680A" w:rsidP="00D25AEC">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5D7CA6" w:rsidRPr="004002A1">
              <w:rPr>
                <w:rFonts w:ascii="Times New Roman" w:hAnsi="Times New Roman" w:cs="Times New Roman"/>
                <w:sz w:val="22"/>
              </w:rPr>
              <w:t>,</w:t>
            </w:r>
          </w:p>
          <w:p w:rsidR="00F4680A"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5D7CA6" w:rsidRPr="004002A1">
              <w:rPr>
                <w:rFonts w:ascii="Times New Roman" w:hAnsi="Times New Roman" w:cs="Times New Roman"/>
                <w:sz w:val="22"/>
              </w:rPr>
              <w:t>,</w:t>
            </w:r>
          </w:p>
          <w:p w:rsidR="00B606D4" w:rsidRPr="004002A1" w:rsidRDefault="00B606D4"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A859BD">
              <w:rPr>
                <w:rFonts w:ascii="Times New Roman" w:eastAsia="SimSun" w:hAnsi="Times New Roman" w:cs="Times New Roman"/>
                <w:sz w:val="22"/>
                <w:lang w:bidi="th-TH"/>
              </w:rPr>
              <w:t xml:space="preserve">presented a petition for winding-up </w:t>
            </w:r>
            <w:r>
              <w:rPr>
                <w:rFonts w:ascii="Times New Roman" w:eastAsia="SimSun" w:hAnsi="Times New Roman" w:cs="Times New Roman"/>
                <w:sz w:val="22"/>
                <w:lang w:bidi="th-TH"/>
              </w:rPr>
              <w:t xml:space="preserve">itself </w:t>
            </w:r>
            <w:r w:rsidRPr="00A859BD">
              <w:rPr>
                <w:rFonts w:ascii="Times New Roman" w:eastAsia="SimSun" w:hAnsi="Times New Roman" w:cs="Times New Roman"/>
                <w:sz w:val="22"/>
                <w:lang w:bidi="th-TH"/>
              </w:rPr>
              <w:t xml:space="preserve">or had a petition for winding-up presented </w:t>
            </w:r>
            <w:r>
              <w:rPr>
                <w:rFonts w:ascii="Times New Roman" w:eastAsia="SimSun" w:hAnsi="Times New Roman" w:cs="Times New Roman"/>
                <w:sz w:val="22"/>
                <w:lang w:bidi="th-TH"/>
              </w:rPr>
              <w:t xml:space="preserve">against it </w:t>
            </w:r>
            <w:r w:rsidRPr="00A859BD">
              <w:rPr>
                <w:rFonts w:ascii="Times New Roman" w:eastAsia="SimSun" w:hAnsi="Times New Roman" w:cs="Times New Roman"/>
                <w:sz w:val="22"/>
                <w:lang w:bidi="th-TH"/>
              </w:rPr>
              <w:t>by any creditor</w:t>
            </w:r>
            <w:r>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5D7CA6"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F4680A" w:rsidRPr="004002A1" w:rsidRDefault="00F4680A" w:rsidP="00D25AEC">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proofErr w:type="gramStart"/>
            <w:r w:rsidRPr="004002A1">
              <w:rPr>
                <w:rFonts w:ascii="Times New Roman" w:eastAsia="SimSun" w:hAnsi="Times New Roman" w:cs="Times New Roman"/>
                <w:sz w:val="22"/>
                <w:lang w:bidi="th-TH"/>
              </w:rPr>
              <w:t>made</w:t>
            </w:r>
            <w:proofErr w:type="gramEnd"/>
            <w:r w:rsidRPr="004002A1">
              <w:rPr>
                <w:rFonts w:ascii="Times New Roman" w:eastAsia="SimSun" w:hAnsi="Times New Roman" w:cs="Times New Roman"/>
                <w:sz w:val="22"/>
                <w:lang w:bidi="th-TH"/>
              </w:rPr>
              <w:t xml:space="preserv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F4680A" w:rsidRPr="004002A1" w:rsidRDefault="00F4680A" w:rsidP="001B4A39">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filed</w:t>
            </w:r>
            <w:proofErr w:type="gramEnd"/>
            <w:r w:rsidRPr="004002A1">
              <w:rPr>
                <w:sz w:val="22"/>
                <w:szCs w:val="22"/>
                <w:lang w:val="en-US" w:bidi="th-TH"/>
              </w:rPr>
              <w:t xml:space="preserve"> in the office of the </w:t>
            </w:r>
            <w:proofErr w:type="spellStart"/>
            <w:r w:rsidRPr="004002A1">
              <w:rPr>
                <w:sz w:val="22"/>
                <w:szCs w:val="22"/>
                <w:lang w:val="en-US" w:bidi="th-TH"/>
              </w:rPr>
              <w:t>Labour</w:t>
            </w:r>
            <w:proofErr w:type="spellEnd"/>
            <w:r w:rsidRPr="004002A1">
              <w:rPr>
                <w:sz w:val="22"/>
                <w:szCs w:val="22"/>
                <w:lang w:val="en-US" w:bidi="th-TH"/>
              </w:rPr>
              <w:t xml:space="preserve">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w:t>
            </w:r>
            <w:r w:rsidR="00AE7E83">
              <w:rPr>
                <w:sz w:val="22"/>
                <w:szCs w:val="22"/>
                <w:lang w:val="en-US" w:bidi="th-TH"/>
              </w:rPr>
              <w:t>for</w:t>
            </w:r>
            <w:r w:rsidRPr="004002A1">
              <w:rPr>
                <w:sz w:val="22"/>
                <w:szCs w:val="22"/>
                <w:lang w:val="en-US" w:bidi="th-TH"/>
              </w:rPr>
              <w:t xml:space="preserve">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proofErr w:type="gramStart"/>
            <w:r w:rsidRPr="004002A1">
              <w:rPr>
                <w:sz w:val="22"/>
                <w:szCs w:val="22"/>
                <w:lang w:val="en-US" w:bidi="th-TH"/>
              </w:rPr>
              <w:t>the</w:t>
            </w:r>
            <w:proofErr w:type="gramEnd"/>
            <w:r w:rsidRPr="004002A1">
              <w:rPr>
                <w:sz w:val="22"/>
                <w:szCs w:val="22"/>
                <w:lang w:val="en-US" w:bidi="th-TH"/>
              </w:rPr>
              <w:t xml:space="preserv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proofErr w:type="gramStart"/>
            <w:r w:rsidRPr="004002A1">
              <w:rPr>
                <w:rFonts w:ascii="Times New Roman" w:hAnsi="Times New Roman" w:cs="Times New Roman"/>
                <w:sz w:val="22"/>
                <w:lang w:bidi="th-TH"/>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 xml:space="preserve">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the</w:t>
            </w:r>
            <w:proofErr w:type="spellEnd"/>
            <w:r w:rsidRPr="004002A1">
              <w:rPr>
                <w:sz w:val="22"/>
                <w:szCs w:val="22"/>
                <w:lang w:val="en-US" w:bidi="th-TH"/>
              </w:rPr>
              <w:t xml:space="preserv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w:t>
            </w:r>
            <w:proofErr w:type="spellStart"/>
            <w:r w:rsidRPr="004002A1">
              <w:rPr>
                <w:sz w:val="22"/>
                <w:szCs w:val="22"/>
                <w:lang w:val="en-US" w:bidi="th-TH"/>
              </w:rPr>
              <w:t>Labour</w:t>
            </w:r>
            <w:proofErr w:type="spellEnd"/>
            <w:r w:rsidRPr="004002A1">
              <w:rPr>
                <w:sz w:val="22"/>
                <w:szCs w:val="22"/>
                <w:lang w:val="en-US" w:bidi="th-TH"/>
              </w:rPr>
              <w:t xml:space="preserve">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w:t>
            </w:r>
            <w:r w:rsidR="00AE7E83">
              <w:rPr>
                <w:sz w:val="22"/>
                <w:szCs w:val="22"/>
                <w:lang w:val="en-US" w:bidi="th-TH"/>
              </w:rPr>
              <w:t>for</w:t>
            </w:r>
            <w:r w:rsidRPr="004002A1">
              <w:rPr>
                <w:sz w:val="22"/>
                <w:szCs w:val="22"/>
                <w:lang w:val="en-US" w:bidi="th-TH"/>
              </w:rPr>
              <w:t xml:space="preserve">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proofErr w:type="gramStart"/>
            <w:r w:rsidRPr="004002A1">
              <w:rPr>
                <w:sz w:val="22"/>
                <w:lang w:bidi="th-TH"/>
              </w:rPr>
              <w:t>the</w:t>
            </w:r>
            <w:proofErr w:type="gramEnd"/>
            <w:r w:rsidRPr="004002A1">
              <w:rPr>
                <w:sz w:val="22"/>
                <w:lang w:bidi="th-TH"/>
              </w:rPr>
              <w:t xml:space="preserv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97D20">
            <w:pPr>
              <w:tabs>
                <w:tab w:val="left" w:pos="-3"/>
              </w:tabs>
              <w:spacing w:afterLines="50" w:after="180" w:line="300" w:lineRule="exact"/>
              <w:ind w:left="-3" w:rightChars="80" w:right="192" w:firstLine="3"/>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00A9321F" w:rsidRPr="004002A1">
              <w:rPr>
                <w:rFonts w:ascii="Times New Roman" w:hAnsi="Times New Roman" w:cs="Times New Roman"/>
                <w:i/>
                <w:sz w:val="22"/>
              </w:rPr>
              <w:t>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proofErr w:type="gramEnd"/>
      <w:r w:rsidRPr="004002A1">
        <w:rPr>
          <w:rFonts w:ascii="Times New Roman" w:hAnsi="Times New Roman" w:cs="Times New Roman" w:hint="eastAsia"/>
          <w:b/>
          <w:sz w:val="28"/>
          <w:szCs w:val="28"/>
        </w:rPr>
        <w:tab/>
      </w:r>
      <w:r w:rsidR="00A878F4">
        <w:rPr>
          <w:rFonts w:ascii="Times New Roman" w:hAnsi="Times New Roman" w:cs="Times New Roman"/>
          <w:b/>
          <w:sz w:val="28"/>
          <w:szCs w:val="28"/>
        </w:rPr>
        <w:t xml:space="preserve">Not used </w:t>
      </w:r>
    </w:p>
    <w:p w:rsidR="00731CEE" w:rsidRDefault="00731CEE" w:rsidP="00731CEE">
      <w:pPr>
        <w:widowControl/>
        <w:rPr>
          <w:rFonts w:ascii="Times New Roman" w:hAnsi="Times New Roman" w:cs="Times New Roman"/>
          <w:b/>
        </w:rPr>
      </w:pPr>
    </w:p>
    <w:p w:rsidR="00E45AFA" w:rsidRPr="004002A1" w:rsidRDefault="00E45AFA" w:rsidP="00731CEE">
      <w:pPr>
        <w:widowControl/>
        <w:rPr>
          <w:rFonts w:ascii="Times New Roman" w:hAnsi="Times New Roman" w:cs="Times New Roman" w:hint="eastAsia"/>
          <w:b/>
        </w:rPr>
      </w:pPr>
      <w:r>
        <w:rPr>
          <w:rFonts w:ascii="Times New Roman" w:hAnsi="Times New Roman" w:cs="Times New Roman"/>
          <w:b/>
          <w:color w:val="0000FF"/>
          <w:kern w:val="0"/>
          <w:sz w:val="22"/>
        </w:rPr>
        <w:t>Note</w:t>
      </w:r>
      <w:r>
        <w:rPr>
          <w:rFonts w:ascii="Times New Roman" w:hAnsi="Times New Roman" w:cs="Times New Roman"/>
          <w:color w:val="0000FF"/>
          <w:kern w:val="0"/>
          <w:sz w:val="22"/>
        </w:rPr>
        <w:t>: Reference “IV</w:t>
      </w:r>
      <w:proofErr w:type="gramStart"/>
      <w:r>
        <w:rPr>
          <w:rFonts w:ascii="Times New Roman" w:hAnsi="Times New Roman" w:cs="Times New Roman"/>
          <w:color w:val="0000FF"/>
          <w:kern w:val="0"/>
          <w:sz w:val="22"/>
        </w:rPr>
        <w:t>:6</w:t>
      </w:r>
      <w:proofErr w:type="gramEnd"/>
      <w:r>
        <w:rPr>
          <w:rFonts w:ascii="Times New Roman" w:hAnsi="Times New Roman" w:cs="Times New Roman"/>
          <w:color w:val="0000FF"/>
          <w:kern w:val="0"/>
          <w:sz w:val="22"/>
        </w:rPr>
        <w:t xml:space="preserve">” is used for </w:t>
      </w:r>
      <w:r>
        <w:rPr>
          <w:rStyle w:val="af4"/>
          <w:rFonts w:ascii="Times New Roman" w:hAnsi="Times New Roman" w:cs="Times New Roman"/>
          <w:color w:val="0000FF"/>
          <w:kern w:val="0"/>
          <w:sz w:val="22"/>
          <w:u w:val="single"/>
        </w:rPr>
        <w:t>Pay for Safety Performance Merit Scheme</w:t>
      </w:r>
      <w:r>
        <w:rPr>
          <w:rFonts w:ascii="Times New Roman" w:hAnsi="Times New Roman" w:cs="Times New Roman"/>
          <w:color w:val="0000FF"/>
          <w:kern w:val="0"/>
          <w:sz w:val="22"/>
        </w:rPr>
        <w:t xml:space="preserve"> in the ECC(HK) library. To avoid duplication, “IV</w:t>
      </w:r>
      <w:proofErr w:type="gramStart"/>
      <w:r>
        <w:rPr>
          <w:rFonts w:ascii="Times New Roman" w:hAnsi="Times New Roman" w:cs="Times New Roman"/>
          <w:color w:val="0000FF"/>
          <w:kern w:val="0"/>
          <w:sz w:val="22"/>
        </w:rPr>
        <w:t>:6</w:t>
      </w:r>
      <w:proofErr w:type="gramEnd"/>
      <w:r>
        <w:rPr>
          <w:rFonts w:ascii="Times New Roman" w:hAnsi="Times New Roman" w:cs="Times New Roman"/>
          <w:color w:val="0000FF"/>
          <w:kern w:val="0"/>
          <w:sz w:val="22"/>
        </w:rPr>
        <w:t>” is marked as “not used” in the TSC(HK) library.]</w:t>
      </w:r>
    </w:p>
    <w:p w:rsidR="001807F7" w:rsidRPr="004002A1" w:rsidRDefault="001807F7">
      <w:pPr>
        <w:rPr>
          <w:rFonts w:ascii="Times New Roman" w:hAnsi="Times New Roman" w:cs="Times New Roman"/>
          <w:color w:val="0000FF"/>
        </w:rPr>
      </w:pPr>
      <w:bookmarkStart w:id="0" w:name="_GoBack"/>
      <w:bookmarkEnd w:id="0"/>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proofErr w:type="gramEnd"/>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within</w:t>
            </w:r>
            <w:proofErr w:type="gramEnd"/>
            <w:r w:rsidRPr="004002A1">
              <w:rPr>
                <w:rFonts w:ascii="Times New Roman" w:hAnsi="Times New Roman" w:cs="Times New Roman"/>
                <w:sz w:val="22"/>
                <w:lang w:eastAsia="zh-HK"/>
              </w:rPr>
              <w:t xml:space="preserve">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 xml:space="preserve">SDEV’s memo ref. </w:t>
            </w:r>
            <w:proofErr w:type="gramStart"/>
            <w:r w:rsidRPr="004002A1">
              <w:rPr>
                <w:rFonts w:ascii="Times New Roman" w:hAnsi="Times New Roman" w:cs="Times New Roman"/>
                <w:sz w:val="22"/>
                <w:lang w:val="en-HK" w:eastAsia="zh-HK"/>
              </w:rPr>
              <w:t>DEVB(</w:t>
            </w:r>
            <w:proofErr w:type="gramEnd"/>
            <w:r w:rsidRPr="004002A1">
              <w:rPr>
                <w:rFonts w:ascii="Times New Roman" w:hAnsi="Times New Roman" w:cs="Times New Roman"/>
                <w:sz w:val="22"/>
                <w:lang w:val="en-HK" w:eastAsia="zh-HK"/>
              </w:rPr>
              <w:t>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w:t>
            </w:r>
            <w:proofErr w:type="gramStart"/>
            <w:r w:rsidR="007C31FF" w:rsidRPr="004002A1">
              <w:rPr>
                <w:rFonts w:ascii="Times New Roman" w:eastAsia="新細明體" w:hAnsi="Times New Roman" w:cs="Times New Roman"/>
                <w:sz w:val="22"/>
                <w:lang w:eastAsia="zh-HK"/>
              </w:rPr>
              <w:t>clause(</w:t>
            </w:r>
            <w:proofErr w:type="gramEnd"/>
            <w:r w:rsidR="007C31FF" w:rsidRPr="004002A1">
              <w:rPr>
                <w:rFonts w:ascii="Times New Roman" w:eastAsia="新細明體" w:hAnsi="Times New Roman" w:cs="Times New Roman"/>
                <w:sz w:val="22"/>
                <w:lang w:eastAsia="zh-HK"/>
              </w:rPr>
              <w:t>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DB3144" w:rsidRPr="00005548" w:rsidRDefault="00DB3144" w:rsidP="00DB3144">
            <w:pPr>
              <w:tabs>
                <w:tab w:val="left" w:pos="-3"/>
                <w:tab w:val="num" w:pos="612"/>
              </w:tabs>
              <w:spacing w:afterLines="80" w:after="288" w:line="280" w:lineRule="exact"/>
              <w:ind w:left="-6" w:rightChars="82" w:right="197"/>
              <w:jc w:val="both"/>
              <w:rPr>
                <w:rFonts w:ascii="Times New Roman" w:hAnsi="Times New Roman" w:cs="Times New Roman"/>
                <w:sz w:val="22"/>
              </w:rPr>
            </w:pPr>
            <w:r w:rsidRPr="00005548">
              <w:rPr>
                <w:rFonts w:ascii="Times New Roman" w:hAnsi="Times New Roman" w:cs="Times New Roman"/>
                <w:sz w:val="22"/>
              </w:rPr>
              <w:t xml:space="preserve">For the purpose of this clause:- </w:t>
            </w:r>
          </w:p>
          <w:p w:rsidR="00DB3144" w:rsidRDefault="00DB3144" w:rsidP="00DB3144">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lang w:eastAsia="zh-HK"/>
              </w:rPr>
              <w:t>The “</w:t>
            </w:r>
            <w:r w:rsidRPr="00005548">
              <w:rPr>
                <w:rFonts w:ascii="Times New Roman" w:hAnsi="Times New Roman"/>
                <w:b/>
                <w:i/>
                <w:sz w:val="22"/>
              </w:rPr>
              <w:t>Contractor</w:t>
            </w:r>
            <w:r w:rsidRPr="00005548">
              <w:rPr>
                <w:rFonts w:ascii="Times New Roman" w:hAnsi="Times New Roman"/>
                <w:b/>
                <w:sz w:val="22"/>
              </w:rPr>
              <w:t>’s design</w:t>
            </w:r>
            <w:r w:rsidRPr="00005548">
              <w:rPr>
                <w:rFonts w:ascii="Times New Roman" w:hAnsi="Times New Roman" w:cs="Times New Roman"/>
                <w:sz w:val="22"/>
                <w:lang w:eastAsia="zh-HK"/>
              </w:rPr>
              <w:t xml:space="preserve">” includes but is not limited to </w:t>
            </w:r>
            <w:r w:rsidRPr="00005548">
              <w:rPr>
                <w:rFonts w:ascii="Times New Roman" w:hAnsi="Times New Roman" w:cs="Times New Roman"/>
                <w:i/>
                <w:sz w:val="22"/>
                <w:lang w:eastAsia="zh-HK"/>
              </w:rPr>
              <w:t>Contractor</w:t>
            </w:r>
            <w:r w:rsidRPr="00005548">
              <w:rPr>
                <w:rFonts w:ascii="Times New Roman" w:hAnsi="Times New Roman" w:cs="Times New Roman"/>
                <w:sz w:val="22"/>
                <w:lang w:eastAsia="zh-HK"/>
              </w:rPr>
              <w:t>’s Design, Cost Savings Design, and the resultant works of such designs.</w:t>
            </w:r>
          </w:p>
          <w:p w:rsidR="00335239" w:rsidRPr="00005548" w:rsidDel="003C0BFF" w:rsidRDefault="00DB3144" w:rsidP="00005548">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rPr>
              <w:t>“</w:t>
            </w:r>
            <w:r w:rsidRPr="00005548">
              <w:rPr>
                <w:rFonts w:ascii="Times New Roman" w:hAnsi="Times New Roman" w:cs="Times New Roman"/>
                <w:b/>
                <w:sz w:val="22"/>
              </w:rPr>
              <w:t>IP Materials</w:t>
            </w:r>
            <w:r w:rsidRPr="00005548">
              <w:rPr>
                <w:rFonts w:ascii="Times New Roman" w:hAnsi="Times New Roman" w:cs="Times New Roman"/>
                <w:sz w:val="22"/>
              </w:rPr>
              <w:t xml:space="preserve">” means </w:t>
            </w:r>
            <w:r w:rsidRPr="00005548">
              <w:rPr>
                <w:rFonts w:ascii="Times New Roman" w:eastAsia="@新細明體" w:hAnsi="Times New Roman" w:cs="Times New Roman"/>
                <w:kern w:val="0"/>
                <w:sz w:val="22"/>
                <w:lang w:eastAsia="zh-HK"/>
              </w:rPr>
              <w:t xml:space="preserve">any machine, work, method, material, </w:t>
            </w:r>
            <w:r w:rsidRPr="00005548">
              <w:rPr>
                <w:rFonts w:ascii="Times New Roman" w:eastAsia="@新細明體" w:hAnsi="Times New Roman" w:cs="Times New Roman"/>
                <w:sz w:val="22"/>
                <w:lang w:eastAsia="zh-HK"/>
              </w:rPr>
              <w:t>drawings and documents (including maintenance manuals)</w:t>
            </w:r>
            <w:r w:rsidRPr="00005548">
              <w:rPr>
                <w:rFonts w:ascii="Times New Roman" w:eastAsia="@新細明體" w:hAnsi="Times New Roman" w:cs="Times New Roman"/>
                <w:kern w:val="0"/>
                <w:sz w:val="22"/>
                <w:lang w:eastAsia="zh-HK"/>
              </w:rPr>
              <w:t xml:space="preserve"> or anything whatsoever required for any works </w:t>
            </w:r>
            <w:r w:rsidRPr="00005548">
              <w:rPr>
                <w:rFonts w:ascii="Times New Roman" w:hAnsi="Times New Roman" w:cs="Times New Roman"/>
                <w:sz w:val="22"/>
                <w:lang w:eastAsia="zh-HK"/>
              </w:rPr>
              <w:t>provided</w:t>
            </w:r>
            <w:r w:rsidRPr="00005548">
              <w:rPr>
                <w:rFonts w:ascii="Times New Roman" w:eastAsia="@新細明體" w:hAnsi="Times New Roman" w:cs="Times New Roman"/>
                <w:kern w:val="0"/>
                <w:sz w:val="22"/>
                <w:lang w:eastAsia="zh-HK"/>
              </w:rPr>
              <w:t xml:space="preserve">, developed, adopted, produced or used by the </w:t>
            </w:r>
            <w:r w:rsidRPr="00005548">
              <w:rPr>
                <w:rFonts w:ascii="Times New Roman" w:eastAsia="@新細明體" w:hAnsi="Times New Roman" w:cs="Times New Roman"/>
                <w:i/>
                <w:kern w:val="0"/>
                <w:sz w:val="22"/>
                <w:lang w:eastAsia="zh-HK"/>
              </w:rPr>
              <w:t>Contractor</w:t>
            </w:r>
            <w:r w:rsidRPr="00005548">
              <w:rPr>
                <w:rFonts w:ascii="Times New Roman" w:eastAsia="@新細明體" w:hAnsi="Times New Roman" w:cs="Times New Roman"/>
                <w:kern w:val="0"/>
                <w:sz w:val="22"/>
                <w:lang w:eastAsia="zh-HK"/>
              </w:rPr>
              <w:t>, Tier Subcontractors or the manufacturers of any proprietary product or system required or selected by the</w:t>
            </w:r>
            <w:r w:rsidRPr="00005548">
              <w:rPr>
                <w:rFonts w:ascii="Times New Roman" w:eastAsia="@新細明體" w:hAnsi="Times New Roman" w:cs="Times New Roman"/>
                <w:i/>
                <w:kern w:val="0"/>
                <w:sz w:val="22"/>
                <w:lang w:eastAsia="zh-HK"/>
              </w:rPr>
              <w:t xml:space="preserve"> Contractor</w:t>
            </w:r>
            <w:r w:rsidRPr="00005548">
              <w:rPr>
                <w:rFonts w:ascii="Times New Roman" w:eastAsia="@新細明體" w:hAnsi="Times New Roman" w:cs="Times New Roman"/>
                <w:kern w:val="0"/>
                <w:sz w:val="22"/>
                <w:lang w:eastAsia="zh-HK"/>
              </w:rPr>
              <w:t xml:space="preserve"> in the performance of the contract</w:t>
            </w:r>
            <w:r w:rsidRPr="00005548">
              <w:rPr>
                <w:rFonts w:ascii="Times New Roman" w:eastAsia="@新細明體" w:hAnsi="Times New Roman" w:cs="Times New Roman"/>
                <w:sz w:val="22"/>
                <w:lang w:eastAsia="zh-HK"/>
              </w:rPr>
              <w:t>.</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005548" w:rsidRDefault="00335239" w:rsidP="00984F61">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proofErr w:type="spellStart"/>
            <w:r w:rsidRPr="008235C5">
              <w:rPr>
                <w:rFonts w:ascii="Times New Roman" w:hAnsi="Times New Roman" w:cs="Times New Roman"/>
                <w:sz w:val="22"/>
                <w:lang w:eastAsia="zh-HK"/>
              </w:rPr>
              <w:t>authorised</w:t>
            </w:r>
            <w:proofErr w:type="spellEnd"/>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 xml:space="preserve">perpetual and irrevocable </w:t>
            </w:r>
            <w:proofErr w:type="spellStart"/>
            <w:r w:rsidRPr="00F96C6A">
              <w:rPr>
                <w:rFonts w:ascii="Times New Roman" w:eastAsia="@新細明體" w:hAnsi="Times New Roman" w:cs="Times New Roman"/>
                <w:sz w:val="22"/>
                <w:lang w:eastAsia="zh-HK"/>
              </w:rPr>
              <w:t>licence</w:t>
            </w:r>
            <w:proofErr w:type="spellEnd"/>
            <w:r>
              <w:rPr>
                <w:rFonts w:ascii="Times New Roman" w:eastAsia="@新細明體" w:hAnsi="Times New Roman" w:cs="Times New Roman"/>
                <w:sz w:val="22"/>
                <w:lang w:eastAsia="zh-HK"/>
              </w:rPr>
              <w:t xml:space="preserve"> to </w:t>
            </w:r>
            <w:proofErr w:type="spellStart"/>
            <w:r>
              <w:rPr>
                <w:rFonts w:ascii="Times New Roman" w:eastAsia="@新細明體" w:hAnsi="Times New Roman" w:cs="Times New Roman"/>
                <w:sz w:val="22"/>
                <w:lang w:eastAsia="zh-HK"/>
              </w:rPr>
              <w:t>utilis</w:t>
            </w:r>
            <w:r w:rsidRPr="00F96C6A">
              <w:rPr>
                <w:rFonts w:ascii="Times New Roman" w:eastAsia="@新細明體" w:hAnsi="Times New Roman" w:cs="Times New Roman"/>
                <w:sz w:val="22"/>
                <w:lang w:eastAsia="zh-HK"/>
              </w:rPr>
              <w:t>e</w:t>
            </w:r>
            <w:proofErr w:type="spellEnd"/>
            <w:r w:rsidRPr="00F96C6A">
              <w:rPr>
                <w:rFonts w:ascii="Times New Roman" w:eastAsia="@新細明體" w:hAnsi="Times New Roman" w:cs="Times New Roman"/>
                <w:sz w:val="22"/>
                <w:lang w:eastAsia="zh-HK"/>
              </w:rPr>
              <w:t xml:space="preserv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w:t>
            </w:r>
            <w:proofErr w:type="spellStart"/>
            <w:r w:rsidRPr="004002A1">
              <w:rPr>
                <w:rFonts w:ascii="Times New Roman" w:hAnsi="Times New Roman" w:cs="Times New Roman"/>
                <w:sz w:val="22"/>
                <w:lang w:eastAsia="zh-HK"/>
              </w:rPr>
              <w:t>licence</w:t>
            </w:r>
            <w:proofErr w:type="spellEnd"/>
            <w:r w:rsidRPr="004002A1">
              <w:rPr>
                <w:rFonts w:ascii="Times New Roman" w:hAnsi="Times New Roman" w:cs="Times New Roman"/>
                <w:sz w:val="22"/>
                <w:lang w:eastAsia="zh-HK"/>
              </w:rPr>
              <w:t xml:space="preserv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xml:space="preserve">, its </w:t>
            </w:r>
            <w:proofErr w:type="spellStart"/>
            <w:r w:rsidRPr="00B8529A">
              <w:rPr>
                <w:rFonts w:ascii="Times New Roman" w:eastAsia="@新細明體" w:hAnsi="Times New Roman" w:cs="Times New Roman"/>
                <w:sz w:val="22"/>
                <w:lang w:eastAsia="zh-HK"/>
              </w:rPr>
              <w:t>authorised</w:t>
            </w:r>
            <w:proofErr w:type="spellEnd"/>
            <w:r w:rsidRPr="00B8529A">
              <w:rPr>
                <w:rFonts w:ascii="Times New Roman" w:eastAsia="@新細明體" w:hAnsi="Times New Roman" w:cs="Times New Roman"/>
                <w:sz w:val="22"/>
                <w:lang w:eastAsia="zh-HK"/>
              </w:rPr>
              <w:t xml:space="preserve">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w:t>
            </w:r>
            <w:proofErr w:type="spellStart"/>
            <w:r w:rsidRPr="00B5315F">
              <w:rPr>
                <w:rFonts w:ascii="Times New Roman" w:hAnsi="Times New Roman" w:cs="Times New Roman"/>
                <w:sz w:val="22"/>
                <w:lang w:eastAsia="zh-HK"/>
              </w:rPr>
              <w:t>authorised</w:t>
            </w:r>
            <w:proofErr w:type="spellEnd"/>
            <w:r w:rsidRPr="00B5315F">
              <w:rPr>
                <w:rFonts w:ascii="Times New Roman" w:hAnsi="Times New Roman" w:cs="Times New Roman"/>
                <w:sz w:val="22"/>
                <w:lang w:eastAsia="zh-HK"/>
              </w:rPr>
              <w:t xml:space="preserve">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005548"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in </w:t>
            </w:r>
            <w:r w:rsidRPr="00425733">
              <w:rPr>
                <w:rFonts w:ascii="Times New Roman" w:eastAsia="@新細明體" w:hAnsi="Times New Roman" w:cs="Times New Roman"/>
                <w:kern w:val="0"/>
                <w:sz w:val="22"/>
                <w:lang w:eastAsia="zh-HK"/>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425733">
              <w:rPr>
                <w:rFonts w:ascii="Times New Roman" w:eastAsia="@新細明體" w:hAnsi="Times New Roman" w:cs="Times New Roman"/>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425733">
              <w:rPr>
                <w:rFonts w:ascii="Times New Roman" w:eastAsia="@新細明體" w:hAnsi="Times New Roman" w:cs="Times New Roman"/>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w:t>
            </w:r>
            <w:proofErr w:type="spellStart"/>
            <w:r w:rsidRPr="00F96C6A">
              <w:rPr>
                <w:rFonts w:ascii="Times New Roman" w:eastAsia="@新細明體" w:hAnsi="Times New Roman" w:cs="Times New Roman"/>
                <w:kern w:val="0"/>
                <w:sz w:val="22"/>
                <w:lang w:eastAsia="zh-HK"/>
              </w:rPr>
              <w:t>licence</w:t>
            </w:r>
            <w:proofErr w:type="spellEnd"/>
            <w:r w:rsidRPr="00F96C6A">
              <w:rPr>
                <w:rFonts w:ascii="Times New Roman" w:eastAsia="@新細明體" w:hAnsi="Times New Roman" w:cs="Times New Roman"/>
                <w:kern w:val="0"/>
                <w:sz w:val="22"/>
                <w:lang w:eastAsia="zh-HK"/>
              </w:rPr>
              <w:t xml:space="preserv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w:t>
            </w:r>
            <w:proofErr w:type="spellStart"/>
            <w:r w:rsidRPr="00F96C6A">
              <w:rPr>
                <w:rFonts w:ascii="Times New Roman" w:eastAsia="@新細明體" w:hAnsi="Times New Roman" w:cs="Times New Roman"/>
                <w:kern w:val="0"/>
                <w:sz w:val="22"/>
                <w:lang w:eastAsia="zh-HK"/>
              </w:rPr>
              <w:t>licences</w:t>
            </w:r>
            <w:proofErr w:type="spellEnd"/>
            <w:r w:rsidRPr="00F96C6A">
              <w:rPr>
                <w:rFonts w:ascii="Times New Roman" w:eastAsia="@新細明體" w:hAnsi="Times New Roman" w:cs="Times New Roman"/>
                <w:kern w:val="0"/>
                <w:sz w:val="22"/>
                <w:lang w:eastAsia="zh-HK"/>
              </w:rPr>
              <w:t xml:space="preserve">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w:t>
            </w:r>
            <w:proofErr w:type="spellStart"/>
            <w:r w:rsidRPr="004002A1">
              <w:rPr>
                <w:rFonts w:ascii="Times New Roman" w:eastAsia="@新細明體" w:hAnsi="Times New Roman" w:cs="Times New Roman"/>
                <w:sz w:val="22"/>
                <w:lang w:eastAsia="zh-HK"/>
              </w:rPr>
              <w:t>favour</w:t>
            </w:r>
            <w:proofErr w:type="spellEnd"/>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w:t>
            </w:r>
            <w:proofErr w:type="spellStart"/>
            <w:r w:rsidRPr="004002A1">
              <w:rPr>
                <w:rFonts w:ascii="Times New Roman" w:eastAsia="@新細明體" w:hAnsi="Times New Roman" w:cs="Times New Roman"/>
                <w:sz w:val="22"/>
                <w:lang w:eastAsia="zh-HK"/>
              </w:rPr>
              <w:t>licence</w:t>
            </w:r>
            <w:proofErr w:type="spellEnd"/>
            <w:r w:rsidRPr="004002A1">
              <w:rPr>
                <w:rFonts w:ascii="Times New Roman" w:eastAsia="@新細明體" w:hAnsi="Times New Roman" w:cs="Times New Roman"/>
                <w:sz w:val="22"/>
                <w:lang w:eastAsia="zh-HK"/>
              </w:rPr>
              <w:t xml:space="preserv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005548" w:rsidRPr="004002A1" w:rsidRDefault="00005548" w:rsidP="00005548">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005548" w:rsidRPr="004002A1" w:rsidRDefault="00005548" w:rsidP="00005548">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005548" w:rsidRPr="00D7367E" w:rsidRDefault="00005548" w:rsidP="00005548">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proofErr w:type="spellStart"/>
            <w:r w:rsidRPr="00F410F3">
              <w:rPr>
                <w:rFonts w:ascii="Times New Roman" w:hAnsi="Times New Roman"/>
              </w:rPr>
              <w:t>licences</w:t>
            </w:r>
            <w:proofErr w:type="spellEnd"/>
            <w:r w:rsidRPr="00F410F3">
              <w:rPr>
                <w:rFonts w:ascii="Times New Roman" w:hAnsi="Times New Roman"/>
              </w:rPr>
              <w:t xml:space="preserve">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xml:space="preserve">, its </w:t>
            </w:r>
            <w:proofErr w:type="spellStart"/>
            <w:r w:rsidRPr="003A3F2A">
              <w:rPr>
                <w:rFonts w:ascii="Times New Roman" w:hAnsi="Times New Roman"/>
              </w:rPr>
              <w:t>authorised</w:t>
            </w:r>
            <w:proofErr w:type="spellEnd"/>
            <w:r w:rsidRPr="003A3F2A">
              <w:rPr>
                <w:rFonts w:ascii="Times New Roman" w:hAnsi="Times New Roman"/>
              </w:rPr>
              <w:t xml:space="preserve">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w:t>
            </w:r>
            <w:proofErr w:type="spellStart"/>
            <w:r w:rsidRPr="00F410F3">
              <w:rPr>
                <w:rFonts w:ascii="Times New Roman" w:hAnsi="Times New Roman"/>
                <w:sz w:val="22"/>
              </w:rPr>
              <w:t>licences</w:t>
            </w:r>
            <w:proofErr w:type="spellEnd"/>
            <w:r w:rsidRPr="00F410F3">
              <w:rPr>
                <w:rFonts w:ascii="Times New Roman" w:hAnsi="Times New Roman"/>
                <w:sz w:val="22"/>
              </w:rPr>
              <w:t xml:space="preserve">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p>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005548" w:rsidRPr="004002A1" w:rsidRDefault="00005548" w:rsidP="00005548">
            <w:pPr>
              <w:tabs>
                <w:tab w:val="right" w:pos="10320"/>
              </w:tabs>
              <w:spacing w:line="280" w:lineRule="exact"/>
              <w:rPr>
                <w:rFonts w:ascii="Times New Roman" w:hAnsi="Times New Roman" w:cs="Times New Roman"/>
                <w:sz w:val="22"/>
                <w:lang w:eastAsia="zh-HK"/>
              </w:rPr>
            </w:pPr>
          </w:p>
          <w:p w:rsidR="00005548" w:rsidRPr="004002A1" w:rsidRDefault="00005548" w:rsidP="00005548">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w:t>
            </w:r>
            <w:proofErr w:type="spellStart"/>
            <w:r w:rsidRPr="004002A1">
              <w:rPr>
                <w:rFonts w:ascii="Times New Roman" w:hAnsi="Times New Roman" w:cs="Times New Roman"/>
                <w:sz w:val="22"/>
              </w:rPr>
              <w:t>Trg</w:t>
            </w:r>
            <w:proofErr w:type="spellEnd"/>
            <w:r w:rsidRPr="004002A1">
              <w:rPr>
                <w:rFonts w:ascii="Times New Roman" w:hAnsi="Times New Roman" w:cs="Times New Roman"/>
                <w:sz w:val="22"/>
              </w:rPr>
              <w:t>)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005548" w:rsidRPr="00B8529A"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w:t>
            </w:r>
            <w:proofErr w:type="spellStart"/>
            <w:r w:rsidRPr="00E224E2">
              <w:rPr>
                <w:rFonts w:ascii="Times New Roman" w:hAnsi="Times New Roman" w:cs="Times New Roman"/>
                <w:sz w:val="22"/>
              </w:rPr>
              <w:t>authorised</w:t>
            </w:r>
            <w:proofErr w:type="spellEnd"/>
            <w:r w:rsidRPr="00E224E2">
              <w:rPr>
                <w:rFonts w:ascii="Times New Roman" w:hAnsi="Times New Roman" w:cs="Times New Roman"/>
                <w:sz w:val="22"/>
              </w:rPr>
              <w:t xml:space="preserve">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05548" w:rsidRPr="004002A1"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05548" w:rsidRPr="004002A1" w:rsidRDefault="00005548" w:rsidP="0000554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provisions of this clause shall survive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or termination and shall continue in full force and effect notwithstanding such </w:t>
            </w:r>
            <w:r w:rsidRPr="004002A1">
              <w:rPr>
                <w:rFonts w:ascii="Times New Roman" w:hAnsi="Times New Roman" w:cs="Times New Roman"/>
                <w:sz w:val="22"/>
                <w:lang w:eastAsia="zh-HK"/>
              </w:rPr>
              <w:t>C</w:t>
            </w:r>
            <w:r w:rsidRPr="004002A1">
              <w:rPr>
                <w:rFonts w:ascii="Times New Roman" w:hAnsi="Times New Roman" w:cs="Times New Roman"/>
                <w:sz w:val="22"/>
              </w:rPr>
              <w:t>ompletion or termination.</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r w:rsidRPr="004002A1">
        <w:rPr>
          <w:rFonts w:ascii="Times New Roman" w:hAnsi="Times New Roman" w:cs="Times New Roman"/>
          <w:color w:val="0000FF"/>
        </w:rPr>
        <w:br w:type="page"/>
      </w: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 xml:space="preserve">certifies Special Payment for any Relevant Imported Item in a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t>
            </w:r>
            <w:r w:rsidR="00941D1E">
              <w:rPr>
                <w:rFonts w:ascii="Times New Roman" w:hAnsi="Times New Roman" w:cs="Times New Roman"/>
                <w:sz w:val="22"/>
              </w:rPr>
              <w:t>Service</w:t>
            </w:r>
            <w:r w:rsidR="00435FAE" w:rsidRPr="004002A1">
              <w:rPr>
                <w:rFonts w:ascii="Times New Roman" w:hAnsi="Times New Roman" w:cs="Times New Roman"/>
                <w:sz w:val="22"/>
              </w:rPr>
              <w:t xml:space="preserve"> </w:t>
            </w:r>
            <w:r w:rsidRPr="004002A1">
              <w:rPr>
                <w:rFonts w:ascii="Times New Roman" w:hAnsi="Times New Roman" w:cs="Times New Roman"/>
                <w:sz w:val="22"/>
              </w:rPr>
              <w:t xml:space="preserve">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6313D0" w:rsidRDefault="006313D0" w:rsidP="00F350D4">
      <w:pPr>
        <w:widowControl/>
        <w:ind w:left="992" w:hangingChars="354" w:hanging="992"/>
        <w:rPr>
          <w:rFonts w:ascii="Times New Roman" w:hAnsi="Times New Roman" w:cs="Times New Roman"/>
          <w:b/>
          <w:sz w:val="28"/>
          <w:szCs w:val="28"/>
        </w:rPr>
      </w:pPr>
      <w:r>
        <w:rPr>
          <w:rFonts w:ascii="Times New Roman" w:hAnsi="Times New Roman" w:cs="Times New Roman" w:hint="eastAsia"/>
          <w:b/>
          <w:sz w:val="28"/>
          <w:szCs w:val="28"/>
        </w:rPr>
        <w:lastRenderedPageBreak/>
        <w:t>IV</w:t>
      </w:r>
      <w:proofErr w:type="gramStart"/>
      <w:r>
        <w:rPr>
          <w:rFonts w:ascii="Times New Roman" w:hAnsi="Times New Roman" w:cs="Times New Roman" w:hint="eastAsia"/>
          <w:b/>
          <w:sz w:val="28"/>
          <w:szCs w:val="28"/>
        </w:rPr>
        <w:t>:12</w:t>
      </w:r>
      <w:proofErr w:type="gramEnd"/>
      <w:r>
        <w:rPr>
          <w:rFonts w:ascii="Times New Roman" w:hAnsi="Times New Roman" w:cs="Times New Roman" w:hint="eastAsia"/>
          <w:b/>
          <w:sz w:val="28"/>
          <w:szCs w:val="28"/>
        </w:rPr>
        <w:t xml:space="preserve"> to IV:15 for </w:t>
      </w:r>
      <w:proofErr w:type="spellStart"/>
      <w:r>
        <w:rPr>
          <w:rFonts w:ascii="Times New Roman" w:hAnsi="Times New Roman" w:cs="Times New Roman" w:hint="eastAsia"/>
          <w:b/>
          <w:sz w:val="28"/>
          <w:szCs w:val="28"/>
        </w:rPr>
        <w:t>MiC</w:t>
      </w:r>
      <w:proofErr w:type="spellEnd"/>
      <w:r>
        <w:rPr>
          <w:rFonts w:ascii="Times New Roman" w:hAnsi="Times New Roman" w:cs="Times New Roman" w:hint="eastAsia"/>
          <w:b/>
          <w:sz w:val="28"/>
          <w:szCs w:val="28"/>
        </w:rPr>
        <w:t xml:space="preserve">, </w:t>
      </w:r>
      <w:proofErr w:type="spellStart"/>
      <w:r>
        <w:rPr>
          <w:rFonts w:ascii="Times New Roman" w:hAnsi="Times New Roman" w:cs="Times New Roman" w:hint="eastAsia"/>
          <w:b/>
          <w:sz w:val="28"/>
          <w:szCs w:val="28"/>
        </w:rPr>
        <w:t>MiMEP</w:t>
      </w:r>
      <w:proofErr w:type="spellEnd"/>
      <w:r>
        <w:rPr>
          <w:rFonts w:ascii="Times New Roman" w:hAnsi="Times New Roman" w:cs="Times New Roman" w:hint="eastAsia"/>
          <w:b/>
          <w:sz w:val="28"/>
          <w:szCs w:val="28"/>
        </w:rPr>
        <w:t xml:space="preserve"> are for capital works, not applicable to TSC (see PSGO memo dated 18.3.2024)</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rPr>
        <w:tc>
          <w:tcPr>
            <w:tcW w:w="793" w:type="dxa"/>
          </w:tcPr>
          <w:p w:rsidR="00F350D4" w:rsidRPr="006313D0" w:rsidRDefault="006313D0" w:rsidP="00F350D4">
            <w:pPr>
              <w:tabs>
                <w:tab w:val="left" w:pos="199"/>
              </w:tabs>
              <w:spacing w:line="300" w:lineRule="exact"/>
              <w:ind w:left="-32" w:rightChars="23" w:right="55" w:firstLine="3"/>
              <w:jc w:val="right"/>
              <w:rPr>
                <w:rFonts w:ascii="Times New Roman" w:hAnsi="Times New Roman" w:cs="Times New Roman"/>
                <w:sz w:val="22"/>
              </w:rPr>
            </w:pPr>
            <w:r w:rsidRPr="004002A1" w:rsidDel="006313D0">
              <w:rPr>
                <w:rFonts w:ascii="Times New Roman" w:hAnsi="Times New Roman" w:cs="Times New Roman" w:hint="eastAsia"/>
                <w:b/>
                <w:sz w:val="28"/>
                <w:szCs w:val="28"/>
              </w:rPr>
              <w:t xml:space="preserve"> </w:t>
            </w:r>
          </w:p>
        </w:tc>
        <w:tc>
          <w:tcPr>
            <w:tcW w:w="6862" w:type="dxa"/>
          </w:tcPr>
          <w:p w:rsidR="00A22ED9" w:rsidRPr="006313D0"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540"/>
              </w:tabs>
              <w:spacing w:line="280" w:lineRule="exact"/>
              <w:ind w:leftChars="50" w:left="120"/>
              <w:jc w:val="both"/>
              <w:rPr>
                <w:rFonts w:ascii="Times New Roman" w:hAnsi="Times New Roman"/>
                <w:szCs w:val="24"/>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8300CC">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rPr>
        <w:tc>
          <w:tcPr>
            <w:tcW w:w="793" w:type="dxa"/>
          </w:tcPr>
          <w:p w:rsidR="00A22ED9" w:rsidRPr="006313D0" w:rsidRDefault="006313D0" w:rsidP="00A22ED9">
            <w:pPr>
              <w:tabs>
                <w:tab w:val="left" w:pos="199"/>
              </w:tabs>
              <w:spacing w:line="300" w:lineRule="exact"/>
              <w:ind w:left="-32" w:rightChars="23" w:right="55" w:firstLine="3"/>
              <w:jc w:val="right"/>
              <w:rPr>
                <w:rFonts w:ascii="Times New Roman" w:hAnsi="Times New Roman" w:cs="Times New Roman"/>
                <w:sz w:val="22"/>
              </w:rPr>
            </w:pPr>
            <w:r w:rsidRPr="004002A1" w:rsidDel="006313D0">
              <w:rPr>
                <w:rFonts w:ascii="Times New Roman" w:hAnsi="Times New Roman" w:cs="Times New Roman" w:hint="eastAsia"/>
                <w:b/>
                <w:sz w:val="28"/>
                <w:szCs w:val="28"/>
              </w:rPr>
              <w:lastRenderedPageBreak/>
              <w:t xml:space="preserve"> </w:t>
            </w:r>
          </w:p>
        </w:tc>
        <w:tc>
          <w:tcPr>
            <w:tcW w:w="6862" w:type="dxa"/>
          </w:tcPr>
          <w:p w:rsidR="00A22ED9" w:rsidRPr="006313D0"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B27" w:rsidRDefault="00DF0B27" w:rsidP="00955A8B">
      <w:r>
        <w:separator/>
      </w:r>
    </w:p>
  </w:endnote>
  <w:endnote w:type="continuationSeparator" w:id="0">
    <w:p w:rsidR="00DF0B27" w:rsidRDefault="00DF0B27"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27" w:rsidRDefault="00DF0B27"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DF0B27" w:rsidRPr="0036010F" w:rsidRDefault="00DF0B27"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8A6799">
          <w:rPr>
            <w:rFonts w:ascii="Times New Roman" w:hAnsi="Times New Roman" w:cs="Times New Roman"/>
            <w:sz w:val="18"/>
            <w:szCs w:val="18"/>
          </w:rPr>
          <w:t>17</w:t>
        </w:r>
        <w:r w:rsidRPr="006B1086">
          <w:rPr>
            <w:rFonts w:ascii="Times New Roman" w:hAnsi="Times New Roman" w:cs="Times New Roman"/>
            <w:sz w:val="18"/>
            <w:szCs w:val="18"/>
          </w:rPr>
          <w:t>.</w:t>
        </w:r>
        <w:r w:rsidR="008A6799">
          <w:rPr>
            <w:rFonts w:ascii="Times New Roman" w:hAnsi="Times New Roman" w:cs="Times New Roman"/>
            <w:sz w:val="18"/>
            <w:szCs w:val="18"/>
          </w:rPr>
          <w:t>11</w:t>
        </w:r>
        <w:r w:rsidRPr="006B1086">
          <w:rPr>
            <w:rFonts w:ascii="Times New Roman" w:hAnsi="Times New Roman" w:cs="Times New Roman"/>
            <w:sz w:val="18"/>
            <w:szCs w:val="18"/>
          </w:rPr>
          <w:t>.202</w:t>
        </w:r>
        <w:r>
          <w:rPr>
            <w:rFonts w:ascii="Times New Roman" w:hAnsi="Times New Roman" w:cs="Times New Roman"/>
            <w:sz w:val="18"/>
            <w:szCs w:val="18"/>
          </w:rPr>
          <w:t>5</w:t>
        </w:r>
        <w:r w:rsidRPr="006B1086">
          <w:rPr>
            <w:rFonts w:ascii="Times New Roman" w:hAnsi="Times New Roman" w:cs="Times New Roman"/>
            <w:sz w:val="18"/>
            <w:szCs w:val="18"/>
          </w:rPr>
          <w:t>)</w:t>
        </w:r>
        <w:r w:rsidRPr="006B1086">
          <w:rPr>
            <w:rFonts w:ascii="Times New Roman" w:hAnsi="Times New Roman" w:cs="Times New Roman"/>
            <w:sz w:val="18"/>
            <w:szCs w:val="18"/>
          </w:rPr>
          <w:tab/>
        </w:r>
        <w:r>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E45AFA">
          <w:rPr>
            <w:rFonts w:ascii="Times New Roman" w:hAnsi="Times New Roman" w:cs="Times New Roman"/>
            <w:noProof/>
            <w:sz w:val="18"/>
            <w:szCs w:val="18"/>
          </w:rPr>
          <w:t>19</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B27" w:rsidRDefault="00DF0B27" w:rsidP="00955A8B">
      <w:r>
        <w:separator/>
      </w:r>
    </w:p>
  </w:footnote>
  <w:footnote w:type="continuationSeparator" w:id="0">
    <w:p w:rsidR="00DF0B27" w:rsidRDefault="00DF0B27"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27" w:rsidRDefault="00E45AFA">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BDB4C6C"/>
    <w:multiLevelType w:val="hybridMultilevel"/>
    <w:tmpl w:val="074C619C"/>
    <w:lvl w:ilvl="0" w:tplc="4D7ACB9E">
      <w:start w:val="1"/>
      <w:numFmt w:val="lowerLetter"/>
      <w:lvlText w:val="(%1)"/>
      <w:lvlJc w:val="left"/>
      <w:pPr>
        <w:ind w:left="474" w:hanging="480"/>
      </w:pPr>
      <w:rPr>
        <w:rFonts w:ascii="Times New Roman" w:hAnsi="Times New Roman" w:cs="Times New Roman" w:hint="default"/>
        <w:b w:val="0"/>
        <w:i w:val="0"/>
        <w:strike w:val="0"/>
        <w:dstrike w:val="0"/>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0"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2" w15:restartNumberingAfterBreak="0">
    <w:nsid w:val="7FFD6A81"/>
    <w:multiLevelType w:val="hybridMultilevel"/>
    <w:tmpl w:val="E10ADE9A"/>
    <w:lvl w:ilvl="0" w:tplc="3C8ACE10">
      <w:start w:val="1"/>
      <w:numFmt w:val="lowerLetter"/>
      <w:lvlText w:val="(%1)"/>
      <w:lvlJc w:val="left"/>
      <w:pPr>
        <w:ind w:left="474" w:hanging="480"/>
      </w:pPr>
      <w:rPr>
        <w:rFonts w:ascii="Times New Roman" w:hAnsi="Times New Roman" w:hint="default"/>
        <w:b w:val="0"/>
        <w:i w:val="0"/>
        <w:strike w:val="0"/>
        <w:dstrike w:val="0"/>
        <w:color w:val="000000" w:themeColor="text1"/>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1"/>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90"/>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 w:numId="92">
    <w:abstractNumId w:val="89"/>
  </w:num>
  <w:num w:numId="93">
    <w:abstractNumId w:val="9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05548"/>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B62"/>
    <w:rsid w:val="00160CDA"/>
    <w:rsid w:val="001619C3"/>
    <w:rsid w:val="001627E2"/>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54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6564"/>
    <w:rsid w:val="0029789D"/>
    <w:rsid w:val="00297D27"/>
    <w:rsid w:val="002A079F"/>
    <w:rsid w:val="002A0BB0"/>
    <w:rsid w:val="002A2D05"/>
    <w:rsid w:val="002A2FCA"/>
    <w:rsid w:val="002A3EB3"/>
    <w:rsid w:val="002A5A87"/>
    <w:rsid w:val="002B3E91"/>
    <w:rsid w:val="002B71AF"/>
    <w:rsid w:val="002C1CDE"/>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B5D1C"/>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733"/>
    <w:rsid w:val="00425C94"/>
    <w:rsid w:val="00432BE6"/>
    <w:rsid w:val="00433E2F"/>
    <w:rsid w:val="00435FAE"/>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3247"/>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2AFD"/>
    <w:rsid w:val="00573214"/>
    <w:rsid w:val="0057363C"/>
    <w:rsid w:val="00575C6B"/>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E35E7"/>
    <w:rsid w:val="005F1728"/>
    <w:rsid w:val="005F1B9C"/>
    <w:rsid w:val="005F3D1D"/>
    <w:rsid w:val="005F6475"/>
    <w:rsid w:val="005F6741"/>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13D0"/>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2AF2"/>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267"/>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21B3"/>
    <w:rsid w:val="008946C5"/>
    <w:rsid w:val="00895A37"/>
    <w:rsid w:val="008967E2"/>
    <w:rsid w:val="008970B1"/>
    <w:rsid w:val="008A2545"/>
    <w:rsid w:val="008A511C"/>
    <w:rsid w:val="008A6799"/>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694"/>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1D1E"/>
    <w:rsid w:val="0094502B"/>
    <w:rsid w:val="009452BA"/>
    <w:rsid w:val="00945542"/>
    <w:rsid w:val="00947BBD"/>
    <w:rsid w:val="00953D3A"/>
    <w:rsid w:val="00954256"/>
    <w:rsid w:val="00955A8B"/>
    <w:rsid w:val="00956962"/>
    <w:rsid w:val="0096268E"/>
    <w:rsid w:val="00964EEA"/>
    <w:rsid w:val="0097352D"/>
    <w:rsid w:val="00975DA1"/>
    <w:rsid w:val="00975E42"/>
    <w:rsid w:val="0097639F"/>
    <w:rsid w:val="00976A72"/>
    <w:rsid w:val="00983EC8"/>
    <w:rsid w:val="00984492"/>
    <w:rsid w:val="00984F61"/>
    <w:rsid w:val="009865FE"/>
    <w:rsid w:val="00987B12"/>
    <w:rsid w:val="00991009"/>
    <w:rsid w:val="00993224"/>
    <w:rsid w:val="009933B6"/>
    <w:rsid w:val="00993E22"/>
    <w:rsid w:val="00994086"/>
    <w:rsid w:val="00996BFD"/>
    <w:rsid w:val="00997264"/>
    <w:rsid w:val="00997E49"/>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8F4"/>
    <w:rsid w:val="00A87F3C"/>
    <w:rsid w:val="00A90BDB"/>
    <w:rsid w:val="00A91D26"/>
    <w:rsid w:val="00A9321F"/>
    <w:rsid w:val="00A93358"/>
    <w:rsid w:val="00A95A1F"/>
    <w:rsid w:val="00A96B1F"/>
    <w:rsid w:val="00A97B44"/>
    <w:rsid w:val="00A97D20"/>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E7E83"/>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6D4"/>
    <w:rsid w:val="00B60955"/>
    <w:rsid w:val="00B672A9"/>
    <w:rsid w:val="00B71BED"/>
    <w:rsid w:val="00B7200A"/>
    <w:rsid w:val="00B72AFE"/>
    <w:rsid w:val="00B73DFC"/>
    <w:rsid w:val="00B74883"/>
    <w:rsid w:val="00B74F50"/>
    <w:rsid w:val="00B74FE3"/>
    <w:rsid w:val="00B76509"/>
    <w:rsid w:val="00B77096"/>
    <w:rsid w:val="00B77DE0"/>
    <w:rsid w:val="00B8029F"/>
    <w:rsid w:val="00B86B7C"/>
    <w:rsid w:val="00B930A3"/>
    <w:rsid w:val="00B9513E"/>
    <w:rsid w:val="00B960B1"/>
    <w:rsid w:val="00B97DCC"/>
    <w:rsid w:val="00BA18D2"/>
    <w:rsid w:val="00BB0B20"/>
    <w:rsid w:val="00BB1750"/>
    <w:rsid w:val="00BB1C19"/>
    <w:rsid w:val="00BB3595"/>
    <w:rsid w:val="00BB3FBA"/>
    <w:rsid w:val="00BB5E1F"/>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144"/>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B27"/>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5AFA"/>
    <w:rsid w:val="00E469FA"/>
    <w:rsid w:val="00E50DDB"/>
    <w:rsid w:val="00E50EE4"/>
    <w:rsid w:val="00E50F6A"/>
    <w:rsid w:val="00E51EE1"/>
    <w:rsid w:val="00E57580"/>
    <w:rsid w:val="00E60334"/>
    <w:rsid w:val="00E625D3"/>
    <w:rsid w:val="00E6362C"/>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1C0"/>
    <w:rsid w:val="00EC071A"/>
    <w:rsid w:val="00EC4649"/>
    <w:rsid w:val="00EC46A4"/>
    <w:rsid w:val="00EC5211"/>
    <w:rsid w:val="00EC655F"/>
    <w:rsid w:val="00ED0587"/>
    <w:rsid w:val="00ED098D"/>
    <w:rsid w:val="00ED0E5D"/>
    <w:rsid w:val="00ED7628"/>
    <w:rsid w:val="00EE06C9"/>
    <w:rsid w:val="00EE16E7"/>
    <w:rsid w:val="00EE3101"/>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0A47"/>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2A39C4"/>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Emphasis"/>
    <w:basedOn w:val="a0"/>
    <w:uiPriority w:val="20"/>
    <w:qFormat/>
    <w:rsid w:val="008A6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B5DBA-C421-451A-BF21-FDB04A89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4229</Words>
  <Characters>24108</Characters>
  <Application>Microsoft Office Word</Application>
  <DocSecurity>0</DocSecurity>
  <Lines>200</Lines>
  <Paragraphs>56</Paragraphs>
  <ScaleCrop>false</ScaleCrop>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LI Wai Man Joyce</cp:lastModifiedBy>
  <cp:revision>36</cp:revision>
  <cp:lastPrinted>2023-11-12T11:25:00Z</cp:lastPrinted>
  <dcterms:created xsi:type="dcterms:W3CDTF">2025-01-02T07:32:00Z</dcterms:created>
  <dcterms:modified xsi:type="dcterms:W3CDTF">2025-11-16T09:42:00Z</dcterms:modified>
</cp:coreProperties>
</file>